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8" w:rsidRPr="00420FE8" w:rsidRDefault="00420FE8" w:rsidP="00420FE8">
      <w:pPr>
        <w:spacing w:before="94"/>
        <w:ind w:left="142" w:right="1165"/>
        <w:rPr>
          <w:b/>
          <w:sz w:val="28"/>
          <w:szCs w:val="28"/>
        </w:rPr>
      </w:pPr>
      <w:r w:rsidRPr="00420FE8">
        <w:rPr>
          <w:rFonts w:ascii="Times New Roman"/>
          <w:noProof/>
          <w:sz w:val="29"/>
          <w:lang w:bidi="ar-SA"/>
        </w:rPr>
        <w:drawing>
          <wp:inline distT="0" distB="0" distL="0" distR="0">
            <wp:extent cx="844550" cy="736600"/>
            <wp:effectExtent l="19050" t="0" r="0" b="0"/>
            <wp:docPr id="16" name="Resim 15" descr="C:\Users\User\Downloads\KAY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Resim" descr="C:\Users\User\Downloads\KAYOS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1835">
        <w:rPr>
          <w:b/>
          <w:sz w:val="28"/>
          <w:szCs w:val="28"/>
        </w:rPr>
        <w:t xml:space="preserve">              </w:t>
      </w:r>
      <w:r w:rsidR="0045186F" w:rsidRPr="00885232">
        <w:rPr>
          <w:b/>
          <w:sz w:val="28"/>
          <w:szCs w:val="28"/>
        </w:rPr>
        <w:t>PS.03.02</w:t>
      </w:r>
      <w:r w:rsidR="00DA0F77">
        <w:rPr>
          <w:b/>
          <w:sz w:val="28"/>
          <w:szCs w:val="28"/>
        </w:rPr>
        <w:t xml:space="preserve"> </w:t>
      </w:r>
      <w:bookmarkStart w:id="0" w:name="_GoBack"/>
      <w:r w:rsidRPr="00420FE8">
        <w:rPr>
          <w:b/>
          <w:sz w:val="28"/>
          <w:szCs w:val="28"/>
        </w:rPr>
        <w:t>Organik Sertifikasyon Adımları</w:t>
      </w:r>
      <w:bookmarkEnd w:id="0"/>
    </w:p>
    <w:p w:rsidR="001C2E32" w:rsidRDefault="001C2E32">
      <w:pPr>
        <w:spacing w:before="64"/>
        <w:ind w:left="1163" w:right="1169"/>
        <w:jc w:val="center"/>
        <w:rPr>
          <w:i/>
        </w:rPr>
      </w:pPr>
    </w:p>
    <w:p w:rsidR="001C2E32" w:rsidRDefault="001C2E32">
      <w:pPr>
        <w:spacing w:before="64"/>
        <w:ind w:left="1163" w:right="1169"/>
        <w:jc w:val="center"/>
        <w:rPr>
          <w:i/>
        </w:rPr>
      </w:pPr>
    </w:p>
    <w:p w:rsidR="0066676B" w:rsidRDefault="00245950">
      <w:pPr>
        <w:spacing w:before="64"/>
        <w:ind w:left="1163" w:right="1169"/>
        <w:jc w:val="center"/>
        <w:rPr>
          <w:i/>
        </w:rPr>
      </w:pPr>
      <w:proofErr w:type="gramStart"/>
      <w:r>
        <w:rPr>
          <w:i/>
        </w:rPr>
        <w:t>(</w:t>
      </w:r>
      <w:proofErr w:type="gramEnd"/>
      <w:r>
        <w:rPr>
          <w:i/>
        </w:rPr>
        <w:t xml:space="preserve">Bu özet </w:t>
      </w:r>
      <w:r w:rsidR="0037695C">
        <w:rPr>
          <w:i/>
        </w:rPr>
        <w:t>KAYOS</w:t>
      </w:r>
      <w:r>
        <w:rPr>
          <w:i/>
        </w:rPr>
        <w:t>’</w:t>
      </w:r>
      <w:r w:rsidR="0037695C">
        <w:rPr>
          <w:i/>
        </w:rPr>
        <w:t xml:space="preserve"> u</w:t>
      </w:r>
      <w:r>
        <w:rPr>
          <w:i/>
        </w:rPr>
        <w:t>n çalıştığı tüm sertifikasyon standartları için geçerlidir. Bazı durumlarda, ilgili programın ek gereklilikleri belirli dokümanlarda açıklanmıştır.</w:t>
      </w:r>
      <w:proofErr w:type="gramStart"/>
      <w:r>
        <w:rPr>
          <w:i/>
        </w:rPr>
        <w:t>)</w:t>
      </w:r>
      <w:proofErr w:type="gramEnd"/>
    </w:p>
    <w:p w:rsidR="0066676B" w:rsidRDefault="0066676B">
      <w:pPr>
        <w:pStyle w:val="GvdeMetni"/>
        <w:spacing w:before="10"/>
        <w:rPr>
          <w:i/>
          <w:sz w:val="21"/>
        </w:rPr>
      </w:pPr>
    </w:p>
    <w:p w:rsidR="0066676B" w:rsidRDefault="00245950">
      <w:pPr>
        <w:pStyle w:val="GvdeMetni"/>
        <w:spacing w:before="1"/>
        <w:ind w:left="267"/>
      </w:pPr>
      <w:r>
        <w:t>*Sadece belirtilen durumlarla ilgili adımlar yıldız im</w:t>
      </w:r>
      <w:r w:rsidR="006336CB">
        <w:t>leci</w:t>
      </w:r>
      <w:r>
        <w:t xml:space="preserve"> ile işaretlenmiştir!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52"/>
        <w:gridCol w:w="3056"/>
        <w:gridCol w:w="5310"/>
      </w:tblGrid>
      <w:tr w:rsidR="0066676B" w:rsidTr="003A5BEB">
        <w:trPr>
          <w:trHeight w:val="696"/>
        </w:trPr>
        <w:tc>
          <w:tcPr>
            <w:tcW w:w="461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55"/>
              <w:ind w:left="304"/>
              <w:rPr>
                <w:b/>
              </w:rPr>
            </w:pPr>
            <w:r>
              <w:rPr>
                <w:b/>
              </w:rPr>
              <w:t>Prosedür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55"/>
              <w:ind w:left="109" w:right="789"/>
              <w:rPr>
                <w:b/>
              </w:rPr>
            </w:pPr>
            <w:r>
              <w:rPr>
                <w:b/>
              </w:rPr>
              <w:t>Başvuru sahibi veya müteşebbis</w:t>
            </w:r>
          </w:p>
        </w:tc>
        <w:tc>
          <w:tcPr>
            <w:tcW w:w="5310" w:type="dxa"/>
          </w:tcPr>
          <w:p w:rsidR="0066676B" w:rsidRPr="0037695C" w:rsidRDefault="0037695C">
            <w:pPr>
              <w:pStyle w:val="TableParagraph"/>
              <w:spacing w:before="55"/>
              <w:ind w:left="2253" w:right="2249"/>
              <w:jc w:val="center"/>
              <w:rPr>
                <w:b/>
              </w:rPr>
            </w:pPr>
            <w:r w:rsidRPr="0037695C">
              <w:rPr>
                <w:b/>
              </w:rPr>
              <w:t>KAYOS</w:t>
            </w:r>
          </w:p>
        </w:tc>
      </w:tr>
      <w:tr w:rsidR="0066676B">
        <w:trPr>
          <w:trHeight w:val="2669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1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Talep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ind w:left="109" w:right="165"/>
            </w:pPr>
            <w:r>
              <w:t xml:space="preserve">Genellikle, başvuru sahipleri gereklilikleri, </w:t>
            </w:r>
            <w:proofErr w:type="gramStart"/>
            <w:r>
              <w:t>prosedürleri</w:t>
            </w:r>
            <w:proofErr w:type="gramEnd"/>
            <w:r>
              <w:t xml:space="preserve"> ve sertifikasyon ücretini soran genel bir ilk başvuru sunarlar.</w:t>
            </w:r>
          </w:p>
        </w:tc>
        <w:tc>
          <w:tcPr>
            <w:tcW w:w="5310" w:type="dxa"/>
          </w:tcPr>
          <w:p w:rsidR="0066676B" w:rsidRDefault="00245950">
            <w:pPr>
              <w:pStyle w:val="TableParagraph"/>
              <w:spacing w:before="16" w:line="237" w:lineRule="auto"/>
              <w:ind w:left="109" w:right="340"/>
            </w:pPr>
            <w:r>
              <w:t xml:space="preserve">Başvuru sahibi, </w:t>
            </w:r>
            <w:r w:rsidR="0037695C">
              <w:t>KAYOS</w:t>
            </w:r>
            <w:r>
              <w:t xml:space="preserve"> tarafından e-posta, posta veya faks aracılığı ile aşağıdaki maddeleri içeren ilk bilgi paketini alır, bazen telefon yoluyla da özel ek görüşme yapılarak bilgilendirilir. Bu pakette,</w:t>
            </w:r>
          </w:p>
          <w:p w:rsidR="0066676B" w:rsidRDefault="00245950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before="41"/>
              <w:ind w:left="529"/>
              <w:jc w:val="both"/>
            </w:pPr>
            <w:proofErr w:type="spellStart"/>
            <w:r>
              <w:t>Budoküman</w:t>
            </w:r>
            <w:proofErr w:type="spellEnd"/>
            <w:r>
              <w:t>,</w:t>
            </w:r>
          </w:p>
          <w:p w:rsidR="0066676B" w:rsidRDefault="00245950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before="32" w:line="235" w:lineRule="auto"/>
              <w:ind w:right="126" w:hanging="361"/>
              <w:jc w:val="both"/>
            </w:pPr>
            <w:r>
              <w:t xml:space="preserve">İlgili alandaki gereksinimleri içeren kısa bilgi (örneğin; bitkisel üretim, arıcılık, doğadan </w:t>
            </w:r>
            <w:proofErr w:type="spellStart"/>
            <w:proofErr w:type="gramStart"/>
            <w:r>
              <w:t>toplama,işleme</w:t>
            </w:r>
            <w:proofErr w:type="spellEnd"/>
            <w:proofErr w:type="gramEnd"/>
            <w:r>
              <w:t>).</w:t>
            </w:r>
          </w:p>
          <w:p w:rsidR="0066676B" w:rsidRDefault="00245950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before="9" w:line="290" w:lineRule="exact"/>
              <w:ind w:left="174" w:right="3274" w:firstLine="0"/>
              <w:jc w:val="both"/>
            </w:pPr>
            <w:r>
              <w:t>Başvuru formu. Bulunur.</w:t>
            </w:r>
          </w:p>
        </w:tc>
      </w:tr>
      <w:tr w:rsidR="0066676B">
        <w:trPr>
          <w:trHeight w:val="615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43" w:lineRule="exact"/>
              <w:ind w:left="110"/>
            </w:pPr>
            <w:r>
              <w:t>2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line="240" w:lineRule="exact"/>
              <w:ind w:left="109"/>
              <w:rPr>
                <w:b/>
              </w:rPr>
            </w:pPr>
            <w:r>
              <w:rPr>
                <w:b/>
              </w:rPr>
              <w:t>Resmi Başvuru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ind w:left="109" w:right="483"/>
            </w:pPr>
            <w:r>
              <w:t>Müşteri başvuru formunu doldurur</w:t>
            </w:r>
          </w:p>
        </w:tc>
        <w:tc>
          <w:tcPr>
            <w:tcW w:w="5310" w:type="dxa"/>
          </w:tcPr>
          <w:p w:rsidR="0066676B" w:rsidRDefault="0037695C">
            <w:pPr>
              <w:pStyle w:val="TableParagraph"/>
              <w:spacing w:before="8" w:line="237" w:lineRule="auto"/>
              <w:ind w:left="109" w:right="573"/>
            </w:pPr>
            <w:r>
              <w:t>KAYOS</w:t>
            </w:r>
            <w:r w:rsidR="00245950">
              <w:t xml:space="preserve"> başvuruyu gözden geçirir. Talep edilen hizmeti sunabiliyor isek, başvuru onaylanır.</w:t>
            </w:r>
          </w:p>
        </w:tc>
      </w:tr>
      <w:tr w:rsidR="0066676B">
        <w:trPr>
          <w:trHeight w:val="2023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3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Teklif</w:t>
            </w:r>
          </w:p>
        </w:tc>
        <w:tc>
          <w:tcPr>
            <w:tcW w:w="3056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0" w:type="dxa"/>
          </w:tcPr>
          <w:p w:rsidR="0066676B" w:rsidRDefault="00245950">
            <w:pPr>
              <w:pStyle w:val="TableParagraph"/>
              <w:spacing w:line="242" w:lineRule="auto"/>
              <w:ind w:left="109" w:right="219"/>
            </w:pPr>
            <w:r>
              <w:t>Günlük ücretlerimize ve sertifikalandırılacak birimin kapsamına göre ücretlendirmemizi hesap ederiz.</w:t>
            </w:r>
          </w:p>
          <w:p w:rsidR="0066676B" w:rsidRDefault="00245950">
            <w:pPr>
              <w:pStyle w:val="TableParagraph"/>
              <w:ind w:left="109" w:right="83"/>
            </w:pPr>
            <w:r>
              <w:t xml:space="preserve">Başvuru sahibine yazılı teklifi sunarız. Normalde bu başvuru ücreti değişmez, başvuru sahibi kontrolörün arazide kalacağı süreden bağımsız olarak </w:t>
            </w:r>
            <w:proofErr w:type="gramStart"/>
            <w:r>
              <w:t>prosedürlerin</w:t>
            </w:r>
            <w:proofErr w:type="gramEnd"/>
            <w:r>
              <w:t xml:space="preserve"> ücretlerinden kesin bir biçimde</w:t>
            </w:r>
          </w:p>
          <w:p w:rsidR="0066676B" w:rsidRDefault="00245950" w:rsidP="0037695C">
            <w:pPr>
              <w:pStyle w:val="TableParagraph"/>
              <w:spacing w:line="252" w:lineRule="exact"/>
              <w:ind w:left="109" w:right="940"/>
            </w:pPr>
            <w:proofErr w:type="gramStart"/>
            <w:r>
              <w:t>haberdar</w:t>
            </w:r>
            <w:proofErr w:type="gramEnd"/>
            <w:r>
              <w:t xml:space="preserve"> olur. Teklifle beraber sertifikasyon </w:t>
            </w:r>
            <w:r w:rsidR="0037695C">
              <w:t>sözleşmesini</w:t>
            </w:r>
            <w:r>
              <w:t xml:space="preserve"> sunarız.</w:t>
            </w:r>
          </w:p>
        </w:tc>
      </w:tr>
      <w:tr w:rsidR="0066676B">
        <w:trPr>
          <w:trHeight w:val="1784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0"/>
              <w:rPr>
                <w:b/>
              </w:rPr>
            </w:pPr>
            <w:r>
              <w:rPr>
                <w:b/>
              </w:rPr>
              <w:t>Sözleşme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13"/>
              <w:ind w:right="284"/>
            </w:pPr>
            <w:r>
              <w:t xml:space="preserve">Başvuru sahibi ve </w:t>
            </w:r>
            <w:r w:rsidR="0037695C">
              <w:t>KAYOS</w:t>
            </w:r>
            <w:r>
              <w:t xml:space="preserve"> ücrette anlaştıklarında, başvuru sahibi sözleşmeyi imzalar. Bununla birlikte başvuru sahibi organik standartların yerine</w:t>
            </w:r>
          </w:p>
          <w:p w:rsidR="0066676B" w:rsidRDefault="00245950">
            <w:pPr>
              <w:pStyle w:val="TableParagraph"/>
              <w:spacing w:line="234" w:lineRule="exact"/>
            </w:pPr>
            <w:proofErr w:type="gramStart"/>
            <w:r>
              <w:t>getirileceğini</w:t>
            </w:r>
            <w:proofErr w:type="gramEnd"/>
            <w:r>
              <w:t xml:space="preserve"> taahhüt eder.</w:t>
            </w:r>
          </w:p>
        </w:tc>
        <w:tc>
          <w:tcPr>
            <w:tcW w:w="5310" w:type="dxa"/>
          </w:tcPr>
          <w:p w:rsidR="0066676B" w:rsidRDefault="0037695C">
            <w:pPr>
              <w:pStyle w:val="TableParagraph"/>
              <w:spacing w:before="13"/>
              <w:ind w:right="398"/>
            </w:pPr>
            <w:r>
              <w:t>KAYOS</w:t>
            </w:r>
            <w:r w:rsidR="00245950">
              <w:t>, sözleşmenin onay imzalı kopyasını geri gönderir.</w:t>
            </w:r>
          </w:p>
        </w:tc>
      </w:tr>
      <w:tr w:rsidR="0066676B">
        <w:trPr>
          <w:trHeight w:val="1650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5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Ön ödeme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14"/>
              <w:ind w:right="406"/>
            </w:pPr>
            <w:r>
              <w:t xml:space="preserve">Müteşebbis sözleşmede belirtilen tutarın </w:t>
            </w:r>
            <w:r w:rsidRPr="003D4AFE">
              <w:t>%50</w:t>
            </w:r>
            <w:r>
              <w:t xml:space="preserve"> ‘sini öder.</w:t>
            </w:r>
          </w:p>
        </w:tc>
        <w:tc>
          <w:tcPr>
            <w:tcW w:w="5310" w:type="dxa"/>
          </w:tcPr>
          <w:p w:rsidR="0066676B" w:rsidRDefault="0037695C">
            <w:pPr>
              <w:pStyle w:val="TableParagraph"/>
              <w:spacing w:before="14"/>
              <w:ind w:right="606"/>
            </w:pPr>
            <w:r>
              <w:t>KAYOS</w:t>
            </w:r>
            <w:r w:rsidR="00245950">
              <w:t>, aşağıda belirtilen diğer bilgileri içeren ikinci bilgi paketini müteşebbise sunar:</w:t>
            </w:r>
          </w:p>
          <w:p w:rsidR="0066676B" w:rsidRDefault="00245950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36"/>
            </w:pPr>
            <w:r>
              <w:t xml:space="preserve">İlgili </w:t>
            </w:r>
            <w:proofErr w:type="spellStart"/>
            <w:r w:rsidR="0037695C">
              <w:t>KAYOS</w:t>
            </w:r>
            <w:r>
              <w:t>politikaları</w:t>
            </w:r>
            <w:proofErr w:type="spellEnd"/>
          </w:p>
          <w:p w:rsidR="0066676B" w:rsidRDefault="00245950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6"/>
            </w:pPr>
            <w:proofErr w:type="spellStart"/>
            <w:r>
              <w:t>İlgili</w:t>
            </w:r>
            <w:r w:rsidR="0037695C">
              <w:t>standart</w:t>
            </w:r>
            <w:r>
              <w:t>lar</w:t>
            </w:r>
            <w:proofErr w:type="spellEnd"/>
          </w:p>
          <w:p w:rsidR="0066676B" w:rsidRDefault="00245950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8"/>
            </w:pP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kontrol</w:t>
            </w:r>
            <w:r w:rsidR="00210679">
              <w:t>planı</w:t>
            </w:r>
            <w:proofErr w:type="spellEnd"/>
          </w:p>
          <w:p w:rsidR="0066676B" w:rsidRDefault="00245950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7" w:line="234" w:lineRule="exact"/>
            </w:pPr>
            <w:r>
              <w:t xml:space="preserve">Organik </w:t>
            </w:r>
            <w:proofErr w:type="spellStart"/>
            <w:r>
              <w:t>yönetimplanı</w:t>
            </w:r>
            <w:proofErr w:type="spellEnd"/>
          </w:p>
          <w:p w:rsidR="00210679" w:rsidRDefault="0021067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7" w:line="234" w:lineRule="exact"/>
            </w:pPr>
            <w:r>
              <w:t>Atanan Kontrolörün teyit formu</w:t>
            </w:r>
          </w:p>
        </w:tc>
      </w:tr>
      <w:tr w:rsidR="0066676B">
        <w:trPr>
          <w:trHeight w:val="2032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6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2" w:line="252" w:lineRule="exact"/>
              <w:rPr>
                <w:b/>
              </w:rPr>
            </w:pPr>
            <w:r>
              <w:rPr>
                <w:b/>
              </w:rPr>
              <w:t>Organik</w:t>
            </w:r>
          </w:p>
          <w:p w:rsidR="0066676B" w:rsidRDefault="00245950">
            <w:pPr>
              <w:pStyle w:val="TableParagraph"/>
              <w:ind w:right="76"/>
              <w:rPr>
                <w:b/>
              </w:rPr>
            </w:pPr>
            <w:proofErr w:type="gramStart"/>
            <w:r>
              <w:rPr>
                <w:b/>
              </w:rPr>
              <w:t>yönetim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  <w:spacing w:val="-4"/>
              </w:rPr>
              <w:t xml:space="preserve">planı </w:t>
            </w:r>
            <w:r>
              <w:rPr>
                <w:b/>
              </w:rPr>
              <w:t>üzerinde çalışma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16" w:line="237" w:lineRule="auto"/>
              <w:ind w:left="109" w:right="230"/>
            </w:pPr>
            <w:r>
              <w:t xml:space="preserve">Müteşebbis organik yönetim planını (OYP) doldurur. </w:t>
            </w:r>
            <w:proofErr w:type="spellStart"/>
            <w:r>
              <w:t>OYP’nin</w:t>
            </w:r>
            <w:proofErr w:type="spellEnd"/>
            <w:r>
              <w:t xml:space="preserve"> üzerinden geçmek herhangi bir uygunsuzluğun belirlenmesine ve düzeltilmesine </w:t>
            </w:r>
            <w:proofErr w:type="spellStart"/>
            <w:r>
              <w:t>deyardımcı</w:t>
            </w:r>
            <w:proofErr w:type="spellEnd"/>
          </w:p>
          <w:p w:rsidR="0066676B" w:rsidRDefault="00245950">
            <w:pPr>
              <w:pStyle w:val="TableParagraph"/>
              <w:spacing w:before="7" w:line="237" w:lineRule="exact"/>
              <w:ind w:left="109"/>
            </w:pPr>
            <w:proofErr w:type="gramStart"/>
            <w:r>
              <w:t>olur</w:t>
            </w:r>
            <w:proofErr w:type="gramEnd"/>
            <w:r>
              <w:t>. Daha önce başka</w:t>
            </w:r>
          </w:p>
        </w:tc>
        <w:tc>
          <w:tcPr>
            <w:tcW w:w="5310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45186F" w:rsidRDefault="0045186F">
      <w:pPr>
        <w:rPr>
          <w:rFonts w:ascii="Times New Roman"/>
        </w:rPr>
      </w:pPr>
    </w:p>
    <w:p w:rsidR="0045186F" w:rsidRPr="0045186F" w:rsidRDefault="0045186F" w:rsidP="0045186F">
      <w:pPr>
        <w:rPr>
          <w:rFonts w:ascii="Times New Roman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52"/>
        <w:gridCol w:w="3056"/>
        <w:gridCol w:w="5310"/>
      </w:tblGrid>
      <w:tr w:rsidR="0066676B">
        <w:trPr>
          <w:trHeight w:val="3024"/>
        </w:trPr>
        <w:tc>
          <w:tcPr>
            <w:tcW w:w="461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ind w:left="109" w:right="210"/>
            </w:pPr>
            <w:proofErr w:type="gramStart"/>
            <w:r>
              <w:t>sertifikasyon</w:t>
            </w:r>
            <w:proofErr w:type="gramEnd"/>
            <w:r>
              <w:t xml:space="preserve"> kuruluşu tarafından sertifikalandırılmış olan müşteriler daha önceki KSK tarafından düzenlenmiş Uygunsuzlukların bildirimi ya da sertifikasyonun reddi bildirimlerini ve uygunsuzlukların düzeltildiğine dair kanıtları da OYP ile birlikte</w:t>
            </w:r>
          </w:p>
          <w:p w:rsidR="0066676B" w:rsidRDefault="00245950">
            <w:pPr>
              <w:pStyle w:val="TableParagraph"/>
              <w:spacing w:line="226" w:lineRule="exact"/>
              <w:ind w:left="109"/>
            </w:pPr>
            <w:proofErr w:type="gramStart"/>
            <w:r>
              <w:t>göndermek</w:t>
            </w:r>
            <w:proofErr w:type="gramEnd"/>
            <w:r>
              <w:t xml:space="preserve"> zorundadır.</w:t>
            </w:r>
          </w:p>
        </w:tc>
        <w:tc>
          <w:tcPr>
            <w:tcW w:w="5310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676B">
        <w:trPr>
          <w:trHeight w:val="834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7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2"/>
              <w:ind w:left="217"/>
              <w:rPr>
                <w:b/>
              </w:rPr>
            </w:pPr>
            <w:r>
              <w:rPr>
                <w:b/>
              </w:rPr>
              <w:t>OYP</w:t>
            </w:r>
          </w:p>
          <w:p w:rsidR="0066676B" w:rsidRDefault="00245950">
            <w:pPr>
              <w:pStyle w:val="TableParagraph"/>
              <w:spacing w:before="15"/>
              <w:ind w:left="217"/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3056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:rsidR="0066676B" w:rsidRDefault="0037695C">
            <w:pPr>
              <w:pStyle w:val="TableParagraph"/>
              <w:spacing w:line="218" w:lineRule="auto"/>
              <w:ind w:right="997"/>
            </w:pPr>
            <w:r>
              <w:t>KAYOS</w:t>
            </w:r>
            <w:r w:rsidR="003D4AFE">
              <w:t xml:space="preserve"> </w:t>
            </w:r>
            <w:proofErr w:type="spellStart"/>
            <w:r w:rsidR="00245950">
              <w:t>OYP’i</w:t>
            </w:r>
            <w:proofErr w:type="spellEnd"/>
            <w:r w:rsidR="00245950">
              <w:t xml:space="preserve"> (organik yönetim planı) değerlendirir ve müteşebbisi sonuç ile ilgili olarak bilgilendirir.</w:t>
            </w:r>
          </w:p>
        </w:tc>
      </w:tr>
      <w:tr w:rsidR="0066676B">
        <w:trPr>
          <w:trHeight w:val="2798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8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6" w:line="218" w:lineRule="auto"/>
              <w:ind w:right="720"/>
              <w:rPr>
                <w:b/>
              </w:rPr>
            </w:pPr>
            <w:r>
              <w:rPr>
                <w:b/>
              </w:rPr>
              <w:t>Düzeltici faaliyetler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14"/>
              <w:ind w:right="210"/>
            </w:pPr>
            <w:r>
              <w:t xml:space="preserve">*OYP’ </w:t>
            </w:r>
            <w:proofErr w:type="spellStart"/>
            <w:r>
              <w:t>nın</w:t>
            </w:r>
            <w:proofErr w:type="spellEnd"/>
            <w:r>
              <w:t xml:space="preserve"> doldurulma ve gözden geçirme süresince uygunsuzluk bulunması durumunda, bu uygunsuzlukların ilk kontrol öncesinde düzeltilmesi gerekir. Örneğin: işletmelerde organik ve konvansiyonel ürünleri birbirinden ayırma</w:t>
            </w:r>
          </w:p>
          <w:p w:rsidR="0066676B" w:rsidRDefault="00245950">
            <w:pPr>
              <w:pStyle w:val="TableParagraph"/>
              <w:spacing w:line="234" w:lineRule="exact"/>
            </w:pPr>
            <w:proofErr w:type="gramStart"/>
            <w:r>
              <w:t>sisteminin</w:t>
            </w:r>
            <w:proofErr w:type="gramEnd"/>
            <w:r>
              <w:t xml:space="preserve"> oluşturulması.</w:t>
            </w:r>
          </w:p>
        </w:tc>
        <w:tc>
          <w:tcPr>
            <w:tcW w:w="5310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6676B">
        <w:trPr>
          <w:trHeight w:val="760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9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2"/>
              <w:ind w:right="794"/>
              <w:rPr>
                <w:b/>
              </w:rPr>
            </w:pPr>
            <w:r>
              <w:rPr>
                <w:b/>
              </w:rPr>
              <w:t>Kontrolü planlama</w:t>
            </w:r>
          </w:p>
        </w:tc>
        <w:tc>
          <w:tcPr>
            <w:tcW w:w="8366" w:type="dxa"/>
            <w:gridSpan w:val="2"/>
          </w:tcPr>
          <w:p w:rsidR="0066676B" w:rsidRDefault="00245950">
            <w:pPr>
              <w:pStyle w:val="TableParagraph"/>
              <w:spacing w:line="250" w:lineRule="exact"/>
              <w:ind w:left="109"/>
            </w:pPr>
            <w:r>
              <w:t>Kontrolör ve müteşebbis kontrol için bir tarih belirler. Eğer makul bir nedeni var ise</w:t>
            </w:r>
          </w:p>
          <w:p w:rsidR="0066676B" w:rsidRDefault="00245950">
            <w:pPr>
              <w:pStyle w:val="TableParagraph"/>
              <w:spacing w:before="6" w:line="252" w:lineRule="exact"/>
              <w:ind w:left="109" w:right="645"/>
            </w:pPr>
            <w:proofErr w:type="gramStart"/>
            <w:r>
              <w:t>müteşebbis</w:t>
            </w:r>
            <w:proofErr w:type="gramEnd"/>
            <w:r>
              <w:t xml:space="preserve"> kontrolörü reddetme ve </w:t>
            </w:r>
            <w:r w:rsidR="0037695C">
              <w:t>KAYOS</w:t>
            </w:r>
            <w:r>
              <w:t>’ ten bir başka kontrolör atamasını isteme hakkına sahiptir.</w:t>
            </w:r>
          </w:p>
        </w:tc>
      </w:tr>
      <w:tr w:rsidR="0066676B">
        <w:trPr>
          <w:trHeight w:val="2546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10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2"/>
              <w:rPr>
                <w:b/>
              </w:rPr>
            </w:pPr>
            <w:r>
              <w:rPr>
                <w:b/>
              </w:rPr>
              <w:t>Kontrol</w:t>
            </w: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14"/>
              <w:ind w:right="198"/>
            </w:pPr>
            <w:r>
              <w:t>Kontrollerde sorumlu kişiler hazır bulunmalıdır ve kayıtlar hazırlanmalıdır.</w:t>
            </w:r>
          </w:p>
          <w:p w:rsidR="0066676B" w:rsidRDefault="00245950">
            <w:pPr>
              <w:pStyle w:val="TableParagraph"/>
              <w:ind w:right="198"/>
            </w:pPr>
            <w:r>
              <w:t>Uygunsuzluk bulunması durumda müteşebbis düzeltici faaliyet önerir. Kontrol sonucu müteşebbis tarafından imzalanır ve bir</w:t>
            </w:r>
          </w:p>
          <w:p w:rsidR="0066676B" w:rsidRDefault="00245950">
            <w:pPr>
              <w:pStyle w:val="TableParagraph"/>
              <w:spacing w:before="5" w:line="252" w:lineRule="exact"/>
              <w:ind w:right="724"/>
            </w:pPr>
            <w:proofErr w:type="gramStart"/>
            <w:r>
              <w:t>kopyası</w:t>
            </w:r>
            <w:proofErr w:type="gramEnd"/>
            <w:r>
              <w:t xml:space="preserve"> müteşebbiste bırakılır.</w:t>
            </w:r>
          </w:p>
        </w:tc>
        <w:tc>
          <w:tcPr>
            <w:tcW w:w="5310" w:type="dxa"/>
          </w:tcPr>
          <w:p w:rsidR="0066676B" w:rsidRDefault="00245950">
            <w:pPr>
              <w:pStyle w:val="TableParagraph"/>
              <w:spacing w:before="14"/>
              <w:ind w:right="129"/>
            </w:pPr>
            <w:r>
              <w:t>Kontrolör, yönetim planının gerçek durumla uyumlu olup olmadığını doğrular ve bulgularını tanımlar.</w:t>
            </w:r>
          </w:p>
        </w:tc>
      </w:tr>
      <w:tr w:rsidR="0066676B">
        <w:trPr>
          <w:trHeight w:val="505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11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8" w:line="216" w:lineRule="auto"/>
              <w:ind w:right="965"/>
              <w:rPr>
                <w:b/>
              </w:rPr>
            </w:pPr>
            <w:r>
              <w:rPr>
                <w:b/>
              </w:rPr>
              <w:t>Kontrol Raporu</w:t>
            </w:r>
          </w:p>
        </w:tc>
        <w:tc>
          <w:tcPr>
            <w:tcW w:w="3056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:rsidR="0066676B" w:rsidRDefault="00245950">
            <w:pPr>
              <w:pStyle w:val="TableParagraph"/>
              <w:spacing w:before="2" w:line="252" w:lineRule="exact"/>
              <w:ind w:left="109" w:right="365"/>
            </w:pPr>
            <w:r>
              <w:t xml:space="preserve">Kontrolden hemen sonra kontrolör raporunu bitirir ve rapor </w:t>
            </w:r>
            <w:proofErr w:type="spellStart"/>
            <w:r>
              <w:t>sertifikere</w:t>
            </w:r>
            <w:proofErr w:type="spellEnd"/>
            <w:r>
              <w:t xml:space="preserve"> sunulur.</w:t>
            </w:r>
          </w:p>
        </w:tc>
      </w:tr>
      <w:tr w:rsidR="0066676B">
        <w:trPr>
          <w:trHeight w:val="1564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50" w:lineRule="exact"/>
              <w:ind w:left="110"/>
            </w:pPr>
            <w:r>
              <w:t>12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Değerlendirme</w:t>
            </w:r>
          </w:p>
        </w:tc>
        <w:tc>
          <w:tcPr>
            <w:tcW w:w="3056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310" w:type="dxa"/>
          </w:tcPr>
          <w:p w:rsidR="0066676B" w:rsidRDefault="00245950">
            <w:pPr>
              <w:pStyle w:val="TableParagraph"/>
              <w:spacing w:before="14"/>
              <w:ind w:right="1718"/>
            </w:pPr>
            <w:r>
              <w:t xml:space="preserve">Rapor sorumlu </w:t>
            </w:r>
            <w:proofErr w:type="spellStart"/>
            <w:r>
              <w:t>sertifiker</w:t>
            </w:r>
            <w:proofErr w:type="spellEnd"/>
            <w:r>
              <w:t xml:space="preserve"> tarafından değerlendirilir.</w:t>
            </w:r>
          </w:p>
          <w:p w:rsidR="0066676B" w:rsidRDefault="00245950">
            <w:pPr>
              <w:pStyle w:val="TableParagraph"/>
              <w:spacing w:before="15"/>
              <w:ind w:right="728"/>
            </w:pPr>
            <w:r>
              <w:t>*Bazen ek olarak sorulan sorular kontrolör ile birlikte açığa kavuşturulur.</w:t>
            </w:r>
          </w:p>
          <w:p w:rsidR="0066676B" w:rsidRDefault="00245950">
            <w:pPr>
              <w:pStyle w:val="TableParagraph"/>
              <w:spacing w:before="22" w:line="252" w:lineRule="exact"/>
              <w:ind w:right="340"/>
            </w:pPr>
            <w:r>
              <w:t>*Uygunsuzluklar bulunduğunda, normal olarak sertifika düzenlenmeden önce düzeltilmelidir.</w:t>
            </w:r>
          </w:p>
        </w:tc>
      </w:tr>
      <w:tr w:rsidR="0066676B">
        <w:trPr>
          <w:trHeight w:val="913"/>
        </w:trPr>
        <w:tc>
          <w:tcPr>
            <w:tcW w:w="461" w:type="dxa"/>
          </w:tcPr>
          <w:p w:rsidR="0066676B" w:rsidRDefault="00245950">
            <w:pPr>
              <w:pStyle w:val="TableParagraph"/>
              <w:spacing w:line="248" w:lineRule="exact"/>
              <w:ind w:left="110"/>
            </w:pPr>
            <w:r>
              <w:t>13</w:t>
            </w:r>
          </w:p>
        </w:tc>
        <w:tc>
          <w:tcPr>
            <w:tcW w:w="1952" w:type="dxa"/>
          </w:tcPr>
          <w:p w:rsidR="0066676B" w:rsidRDefault="00245950">
            <w:pPr>
              <w:pStyle w:val="TableParagraph"/>
              <w:spacing w:before="9" w:line="253" w:lineRule="exact"/>
              <w:ind w:left="109"/>
              <w:rPr>
                <w:b/>
              </w:rPr>
            </w:pPr>
            <w:r>
              <w:rPr>
                <w:b/>
              </w:rPr>
              <w:t>Son</w:t>
            </w:r>
          </w:p>
          <w:p w:rsidR="0066676B" w:rsidRDefault="00245950">
            <w:pPr>
              <w:pStyle w:val="TableParagraph"/>
              <w:spacing w:line="253" w:lineRule="exact"/>
              <w:ind w:left="109"/>
              <w:rPr>
                <w:b/>
              </w:rPr>
            </w:pPr>
            <w:proofErr w:type="gramStart"/>
            <w:r>
              <w:rPr>
                <w:b/>
              </w:rPr>
              <w:t>ücretlendirme</w:t>
            </w:r>
            <w:proofErr w:type="gramEnd"/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line="218" w:lineRule="auto"/>
              <w:ind w:right="210"/>
            </w:pPr>
            <w:r>
              <w:t>Seyahat masrafına ek olarak toplam ücretlendirmenin geri kalan</w:t>
            </w:r>
          </w:p>
          <w:p w:rsidR="0066676B" w:rsidRDefault="00245950">
            <w:pPr>
              <w:pStyle w:val="TableParagraph"/>
              <w:spacing w:line="212" w:lineRule="exact"/>
            </w:pPr>
            <w:r>
              <w:t>%50’si ödenir.</w:t>
            </w:r>
          </w:p>
        </w:tc>
        <w:tc>
          <w:tcPr>
            <w:tcW w:w="5310" w:type="dxa"/>
          </w:tcPr>
          <w:p w:rsidR="0066676B" w:rsidRDefault="00245950">
            <w:pPr>
              <w:pStyle w:val="TableParagraph"/>
              <w:spacing w:before="9"/>
              <w:ind w:left="109"/>
            </w:pPr>
            <w:r>
              <w:t>Fatura düzenlenir.</w:t>
            </w:r>
          </w:p>
        </w:tc>
      </w:tr>
    </w:tbl>
    <w:p w:rsidR="003A5BEB" w:rsidRDefault="003A5BEB"/>
    <w:p w:rsidR="001C2E32" w:rsidRDefault="001C2E32"/>
    <w:p w:rsidR="001C2E32" w:rsidRDefault="001C2E32"/>
    <w:p w:rsidR="001C2E32" w:rsidRDefault="001C2E32"/>
    <w:p w:rsidR="001C2E32" w:rsidRDefault="001C2E32"/>
    <w:p w:rsidR="003A5BEB" w:rsidRDefault="003A5BEB" w:rsidP="003A5BEB"/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952"/>
        <w:gridCol w:w="3056"/>
        <w:gridCol w:w="2655"/>
        <w:gridCol w:w="2655"/>
      </w:tblGrid>
      <w:tr w:rsidR="0066676B">
        <w:trPr>
          <w:trHeight w:val="1024"/>
        </w:trPr>
        <w:tc>
          <w:tcPr>
            <w:tcW w:w="461" w:type="dxa"/>
            <w:vMerge w:val="restart"/>
          </w:tcPr>
          <w:p w:rsidR="0066676B" w:rsidRDefault="003A5BEB" w:rsidP="003A5BEB">
            <w:pPr>
              <w:pStyle w:val="TableParagraph"/>
              <w:spacing w:line="250" w:lineRule="exact"/>
              <w:ind w:left="18"/>
            </w:pPr>
            <w:r>
              <w:lastRenderedPageBreak/>
              <w:tab/>
            </w:r>
            <w:r w:rsidR="00245950">
              <w:rPr>
                <w:noProof/>
                <w:lang w:bidi="ar-SA"/>
              </w:rPr>
              <w:drawing>
                <wp:anchor distT="0" distB="0" distL="0" distR="0" simplePos="0" relativeHeight="251281408" behindDoc="1" locked="0" layoutInCell="1" allowOverlap="1">
                  <wp:simplePos x="0" y="0"/>
                  <wp:positionH relativeFrom="page">
                    <wp:posOffset>5414962</wp:posOffset>
                  </wp:positionH>
                  <wp:positionV relativeFrom="page">
                    <wp:posOffset>2380932</wp:posOffset>
                  </wp:positionV>
                  <wp:extent cx="187365" cy="100012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5950">
              <w:rPr>
                <w:noProof/>
                <w:lang w:bidi="ar-SA"/>
              </w:rPr>
              <w:drawing>
                <wp:anchor distT="0" distB="0" distL="0" distR="0" simplePos="0" relativeHeight="251282432" behindDoc="1" locked="0" layoutInCell="1" allowOverlap="1">
                  <wp:simplePos x="0" y="0"/>
                  <wp:positionH relativeFrom="page">
                    <wp:posOffset>5414962</wp:posOffset>
                  </wp:positionH>
                  <wp:positionV relativeFrom="page">
                    <wp:posOffset>3259772</wp:posOffset>
                  </wp:positionV>
                  <wp:extent cx="187365" cy="100012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5" cy="10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45950">
              <w:t>14</w:t>
            </w:r>
          </w:p>
        </w:tc>
        <w:tc>
          <w:tcPr>
            <w:tcW w:w="1952" w:type="dxa"/>
            <w:vMerge w:val="restart"/>
          </w:tcPr>
          <w:p w:rsidR="0066676B" w:rsidRDefault="00245950">
            <w:pPr>
              <w:pStyle w:val="TableParagraph"/>
              <w:spacing w:before="12"/>
              <w:ind w:right="366"/>
              <w:rPr>
                <w:b/>
              </w:rPr>
            </w:pPr>
            <w:r>
              <w:rPr>
                <w:b/>
              </w:rPr>
              <w:t>Sertifikasyon Kararı</w:t>
            </w:r>
          </w:p>
        </w:tc>
        <w:tc>
          <w:tcPr>
            <w:tcW w:w="3056" w:type="dxa"/>
            <w:vMerge w:val="restart"/>
          </w:tcPr>
          <w:p w:rsidR="0066676B" w:rsidRDefault="006667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10" w:type="dxa"/>
            <w:gridSpan w:val="2"/>
          </w:tcPr>
          <w:p w:rsidR="0066676B" w:rsidRDefault="0037695C">
            <w:pPr>
              <w:pStyle w:val="TableParagraph"/>
              <w:spacing w:before="14" w:line="237" w:lineRule="auto"/>
              <w:ind w:right="483"/>
              <w:rPr>
                <w:b/>
              </w:rPr>
            </w:pPr>
            <w:r>
              <w:rPr>
                <w:b/>
              </w:rPr>
              <w:t>KAYOS</w:t>
            </w:r>
            <w:r w:rsidR="00245950">
              <w:rPr>
                <w:b/>
              </w:rPr>
              <w:t xml:space="preserve"> Sertifikasyon Kararını, normalde kontrolden sonra 4 hafta içerisinde, maksimum 6 hafta içinde verir. Temel olarak</w:t>
            </w:r>
          </w:p>
          <w:p w:rsidR="0066676B" w:rsidRDefault="00245950">
            <w:pPr>
              <w:pStyle w:val="TableParagraph"/>
              <w:spacing w:line="239" w:lineRule="exact"/>
              <w:rPr>
                <w:b/>
              </w:rPr>
            </w:pPr>
            <w:r>
              <w:rPr>
                <w:b/>
              </w:rPr>
              <w:t>3 ihtimal vardır.</w:t>
            </w:r>
          </w:p>
        </w:tc>
      </w:tr>
      <w:tr w:rsidR="0066676B">
        <w:trPr>
          <w:trHeight w:val="772"/>
        </w:trPr>
        <w:tc>
          <w:tcPr>
            <w:tcW w:w="461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:rsidR="0066676B" w:rsidRDefault="00245950">
            <w:pPr>
              <w:pStyle w:val="TableParagraph"/>
              <w:spacing w:before="14" w:line="251" w:lineRule="exact"/>
            </w:pPr>
            <w:r>
              <w:t>a) Müşteri</w:t>
            </w:r>
          </w:p>
          <w:p w:rsidR="0066676B" w:rsidRDefault="00245950">
            <w:pPr>
              <w:pStyle w:val="TableParagraph"/>
              <w:spacing w:before="3" w:line="252" w:lineRule="exact"/>
              <w:ind w:left="534" w:right="1112"/>
            </w:pPr>
            <w:proofErr w:type="gramStart"/>
            <w:r>
              <w:t>standarda</w:t>
            </w:r>
            <w:proofErr w:type="gramEnd"/>
            <w:r>
              <w:t xml:space="preserve"> uygundur.</w:t>
            </w:r>
          </w:p>
        </w:tc>
        <w:tc>
          <w:tcPr>
            <w:tcW w:w="2655" w:type="dxa"/>
          </w:tcPr>
          <w:p w:rsidR="0066676B" w:rsidRDefault="00245950">
            <w:pPr>
              <w:pStyle w:val="TableParagraph"/>
              <w:spacing w:before="16" w:line="237" w:lineRule="auto"/>
              <w:ind w:left="171" w:right="607"/>
            </w:pPr>
            <w:r>
              <w:t>Sertifika hazırlanır ve müşteriye</w:t>
            </w:r>
          </w:p>
          <w:p w:rsidR="0066676B" w:rsidRDefault="00245950">
            <w:pPr>
              <w:pStyle w:val="TableParagraph"/>
              <w:spacing w:line="235" w:lineRule="exact"/>
              <w:ind w:left="171"/>
            </w:pPr>
            <w:proofErr w:type="gramStart"/>
            <w:r>
              <w:t>gönderilir</w:t>
            </w:r>
            <w:proofErr w:type="gramEnd"/>
            <w:r>
              <w:t>.</w:t>
            </w:r>
          </w:p>
        </w:tc>
      </w:tr>
      <w:tr w:rsidR="0066676B">
        <w:trPr>
          <w:trHeight w:val="2537"/>
        </w:trPr>
        <w:tc>
          <w:tcPr>
            <w:tcW w:w="461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</w:tcPr>
          <w:p w:rsidR="0066676B" w:rsidRDefault="00245950">
            <w:pPr>
              <w:pStyle w:val="TableParagraph"/>
              <w:spacing w:before="16" w:line="237" w:lineRule="auto"/>
              <w:ind w:left="397" w:right="336"/>
              <w:jc w:val="center"/>
            </w:pPr>
            <w:r>
              <w:t xml:space="preserve">Müşteri uygunsuzlukları düzeltir ve </w:t>
            </w:r>
            <w:proofErr w:type="spellStart"/>
            <w:r w:rsidR="0037695C">
              <w:t>KAYOS</w:t>
            </w:r>
            <w:r w:rsidR="00B45318">
              <w:t>’a</w:t>
            </w:r>
            <w:proofErr w:type="spellEnd"/>
            <w:r>
              <w:t xml:space="preserve"> kanıtları gönderir.</w:t>
            </w:r>
          </w:p>
        </w:tc>
        <w:tc>
          <w:tcPr>
            <w:tcW w:w="2655" w:type="dxa"/>
          </w:tcPr>
          <w:p w:rsidR="0066676B" w:rsidRDefault="00245950">
            <w:pPr>
              <w:pStyle w:val="TableParagraph"/>
              <w:spacing w:before="18" w:line="237" w:lineRule="auto"/>
              <w:ind w:left="534" w:right="293" w:hanging="361"/>
            </w:pPr>
            <w:r>
              <w:t xml:space="preserve">b) Müşterinin düzeltilmesi gereken uygunsuzlukları vardır. Uygunsuzluklar eksik </w:t>
            </w:r>
            <w:proofErr w:type="spellStart"/>
            <w:r>
              <w:t>dökümanlar</w:t>
            </w:r>
            <w:proofErr w:type="spellEnd"/>
            <w:r>
              <w:t xml:space="preserve"> ya da daha önemli konuları</w:t>
            </w:r>
          </w:p>
          <w:p w:rsidR="0066676B" w:rsidRDefault="00245950">
            <w:pPr>
              <w:pStyle w:val="TableParagraph"/>
              <w:spacing w:before="8" w:line="237" w:lineRule="exact"/>
              <w:ind w:left="534"/>
            </w:pPr>
            <w:proofErr w:type="gramStart"/>
            <w:r>
              <w:t>kapsayabilir</w:t>
            </w:r>
            <w:proofErr w:type="gramEnd"/>
            <w:r>
              <w:t>.</w:t>
            </w:r>
          </w:p>
        </w:tc>
        <w:tc>
          <w:tcPr>
            <w:tcW w:w="2655" w:type="dxa"/>
          </w:tcPr>
          <w:p w:rsidR="001C2E32" w:rsidRDefault="0037695C">
            <w:pPr>
              <w:pStyle w:val="TableParagraph"/>
              <w:spacing w:before="18" w:line="237" w:lineRule="auto"/>
              <w:ind w:left="171" w:right="265"/>
            </w:pPr>
            <w:r>
              <w:t>KAYOS</w:t>
            </w:r>
            <w:r w:rsidR="00245950">
              <w:t xml:space="preserve"> bir uygunsuzluk bildirimi hazırlar. </w:t>
            </w:r>
            <w:r>
              <w:t>KAYOS</w:t>
            </w:r>
            <w:r w:rsidR="00245950">
              <w:t xml:space="preserve"> uygunsuzlukların düzeltildiğine dair kanıtlara ulaştığında sertifika düzenlenir </w:t>
            </w:r>
          </w:p>
          <w:p w:rsidR="001C2E32" w:rsidRDefault="001C2E32">
            <w:pPr>
              <w:pStyle w:val="TableParagraph"/>
              <w:spacing w:before="18" w:line="237" w:lineRule="auto"/>
              <w:ind w:left="171" w:right="265"/>
            </w:pPr>
          </w:p>
          <w:p w:rsidR="0066676B" w:rsidRDefault="00245950">
            <w:pPr>
              <w:pStyle w:val="TableParagraph"/>
              <w:spacing w:before="18" w:line="237" w:lineRule="auto"/>
              <w:ind w:left="171" w:right="265"/>
            </w:pPr>
            <w:r>
              <w:t>(bazı durumlarda, yeni bir ek kontrol yapılır).</w:t>
            </w:r>
          </w:p>
        </w:tc>
      </w:tr>
      <w:tr w:rsidR="0066676B">
        <w:trPr>
          <w:trHeight w:val="1401"/>
        </w:trPr>
        <w:tc>
          <w:tcPr>
            <w:tcW w:w="461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66676B" w:rsidRDefault="0066676B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</w:tcPr>
          <w:p w:rsidR="0066676B" w:rsidRDefault="006667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55" w:type="dxa"/>
          </w:tcPr>
          <w:p w:rsidR="0066676B" w:rsidRDefault="00245950">
            <w:pPr>
              <w:pStyle w:val="TableParagraph"/>
              <w:spacing w:before="16" w:line="218" w:lineRule="auto"/>
              <w:ind w:left="534" w:right="403" w:hanging="361"/>
            </w:pPr>
            <w:r>
              <w:t>c) Müşterinin kısa zamanda düzeltilemeyecek majör uygunsuzlukları</w:t>
            </w:r>
          </w:p>
          <w:p w:rsidR="0066676B" w:rsidRDefault="00245950">
            <w:pPr>
              <w:pStyle w:val="TableParagraph"/>
              <w:spacing w:line="214" w:lineRule="exact"/>
              <w:ind w:left="534"/>
            </w:pPr>
            <w:proofErr w:type="gramStart"/>
            <w:r>
              <w:t>vardır</w:t>
            </w:r>
            <w:proofErr w:type="gramEnd"/>
            <w:r>
              <w:t>.</w:t>
            </w:r>
          </w:p>
        </w:tc>
        <w:tc>
          <w:tcPr>
            <w:tcW w:w="2655" w:type="dxa"/>
          </w:tcPr>
          <w:p w:rsidR="001C2E32" w:rsidRDefault="0037695C">
            <w:pPr>
              <w:pStyle w:val="TableParagraph"/>
              <w:spacing w:before="16" w:line="218" w:lineRule="auto"/>
              <w:ind w:left="171" w:right="607"/>
            </w:pPr>
            <w:r>
              <w:t>KAYOS</w:t>
            </w:r>
            <w:r w:rsidR="00245950">
              <w:t xml:space="preserve"> bir Sertifikasyonu </w:t>
            </w:r>
            <w:proofErr w:type="spellStart"/>
            <w:r w:rsidR="00245950">
              <w:t>Red</w:t>
            </w:r>
            <w:proofErr w:type="spellEnd"/>
            <w:r w:rsidR="00245950">
              <w:t xml:space="preserve"> Mektubu düzenler.</w:t>
            </w:r>
          </w:p>
          <w:p w:rsidR="0066676B" w:rsidRPr="001C2E32" w:rsidRDefault="0066676B" w:rsidP="001C2E32"/>
        </w:tc>
      </w:tr>
    </w:tbl>
    <w:p w:rsidR="0066676B" w:rsidRDefault="0066676B">
      <w:pPr>
        <w:pStyle w:val="GvdeMetni"/>
        <w:rPr>
          <w:rFonts w:ascii="Times New Roman"/>
          <w:sz w:val="20"/>
        </w:rPr>
      </w:pPr>
    </w:p>
    <w:p w:rsidR="0066676B" w:rsidRDefault="0066676B">
      <w:pPr>
        <w:pStyle w:val="GvdeMetni"/>
        <w:spacing w:before="7"/>
        <w:rPr>
          <w:rFonts w:ascii="Times New Roman"/>
        </w:rPr>
      </w:pPr>
    </w:p>
    <w:p w:rsidR="0066676B" w:rsidRDefault="00245950">
      <w:pPr>
        <w:pStyle w:val="GvdeMetni"/>
        <w:spacing w:line="276" w:lineRule="auto"/>
        <w:ind w:left="1194" w:right="1042" w:firstLine="220"/>
      </w:pPr>
      <w:r>
        <w:rPr>
          <w:noProof/>
          <w:lang w:bidi="ar-SA"/>
        </w:rPr>
        <w:drawing>
          <wp:anchor distT="0" distB="0" distL="0" distR="0" simplePos="0" relativeHeight="251283456" behindDoc="1" locked="0" layoutInCell="1" allowOverlap="1">
            <wp:simplePos x="0" y="0"/>
            <wp:positionH relativeFrom="page">
              <wp:posOffset>5422582</wp:posOffset>
            </wp:positionH>
            <wp:positionV relativeFrom="paragraph">
              <wp:posOffset>-984848</wp:posOffset>
            </wp:positionV>
            <wp:extent cx="187365" cy="100012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Lütfen bu rutin </w:t>
      </w:r>
      <w:proofErr w:type="gramStart"/>
      <w:r>
        <w:t>prosedüre</w:t>
      </w:r>
      <w:proofErr w:type="gramEnd"/>
      <w:r>
        <w:t xml:space="preserve"> ek olarak, </w:t>
      </w:r>
      <w:proofErr w:type="spellStart"/>
      <w:r w:rsidR="0037695C">
        <w:t>KAYOS</w:t>
      </w:r>
      <w:r>
        <w:t>'</w:t>
      </w:r>
      <w:r w:rsidR="00792EBE">
        <w:t>u</w:t>
      </w:r>
      <w:r>
        <w:t>n</w:t>
      </w:r>
      <w:proofErr w:type="spellEnd"/>
      <w:r>
        <w:t xml:space="preserve"> herhangi bir zamanda habersiz kontroller gerçekleştirebileceğini unutmayınız. Habersiz kontroller için müşteriler risk temelli veya rastgele seçilebilir. Bu tür habersiz kontrollerin yapılması </w:t>
      </w:r>
      <w:r w:rsidR="0037695C">
        <w:t>KAYOS</w:t>
      </w:r>
      <w:r>
        <w:t xml:space="preserve"> için zorunlu olduğundan, masraflar müşteriye aittir.</w:t>
      </w:r>
    </w:p>
    <w:p w:rsidR="0066676B" w:rsidRDefault="00245950">
      <w:pPr>
        <w:pStyle w:val="GvdeMetni"/>
        <w:spacing w:before="199" w:line="237" w:lineRule="auto"/>
        <w:ind w:left="1194" w:right="1042"/>
      </w:pPr>
      <w:r>
        <w:t xml:space="preserve">Bütün bu </w:t>
      </w:r>
      <w:proofErr w:type="gramStart"/>
      <w:r>
        <w:t>prosedür</w:t>
      </w:r>
      <w:proofErr w:type="gramEnd"/>
      <w:r>
        <w:t xml:space="preserve">, görünüşte uzun ve karışıktır. Buna rağmen burada birbiri ardına sunulan birçok adım, genellikle aynı anda yapılır. Müşteriler sertifikasyon aşamasının </w:t>
      </w:r>
      <w:r>
        <w:rPr>
          <w:b/>
        </w:rPr>
        <w:t xml:space="preserve">hızlandırılmasına </w:t>
      </w:r>
      <w:r>
        <w:t>şu yollarla katkıda bulunabilirler:</w:t>
      </w:r>
    </w:p>
    <w:p w:rsidR="0066676B" w:rsidRDefault="00245950">
      <w:pPr>
        <w:pStyle w:val="ListeParagraf"/>
        <w:numPr>
          <w:ilvl w:val="0"/>
          <w:numId w:val="1"/>
        </w:numPr>
        <w:tabs>
          <w:tab w:val="left" w:pos="1835"/>
          <w:tab w:val="left" w:pos="1836"/>
        </w:tabs>
        <w:spacing w:before="22"/>
      </w:pPr>
      <w:r>
        <w:t>Zamanında ödeme yaparak,</w:t>
      </w:r>
    </w:p>
    <w:p w:rsidR="0066676B" w:rsidRDefault="00245950">
      <w:pPr>
        <w:pStyle w:val="ListeParagraf"/>
        <w:numPr>
          <w:ilvl w:val="0"/>
          <w:numId w:val="1"/>
        </w:numPr>
        <w:tabs>
          <w:tab w:val="left" w:pos="1835"/>
          <w:tab w:val="left" w:pos="1836"/>
        </w:tabs>
        <w:spacing w:before="8"/>
      </w:pPr>
      <w:r>
        <w:t xml:space="preserve">Gerekli olan form, sözleşme gibi dokümanları eksiksiz ve </w:t>
      </w:r>
      <w:proofErr w:type="spellStart"/>
      <w:r>
        <w:t>çabukdoldurarak</w:t>
      </w:r>
      <w:proofErr w:type="spellEnd"/>
      <w:r>
        <w:t>,</w:t>
      </w:r>
    </w:p>
    <w:p w:rsidR="0066676B" w:rsidRDefault="00245950">
      <w:pPr>
        <w:pStyle w:val="ListeParagraf"/>
        <w:numPr>
          <w:ilvl w:val="0"/>
          <w:numId w:val="1"/>
        </w:numPr>
        <w:tabs>
          <w:tab w:val="left" w:pos="1835"/>
          <w:tab w:val="left" w:pos="1836"/>
        </w:tabs>
      </w:pPr>
      <w:r>
        <w:t xml:space="preserve">Düzeltici faaliyetleri bir an önce </w:t>
      </w:r>
      <w:proofErr w:type="spellStart"/>
      <w:r>
        <w:t>uygulamayakoyarak</w:t>
      </w:r>
      <w:proofErr w:type="spellEnd"/>
      <w:r>
        <w:t>.</w:t>
      </w:r>
    </w:p>
    <w:p w:rsidR="0066676B" w:rsidRDefault="0066676B">
      <w:pPr>
        <w:pStyle w:val="GvdeMetni"/>
        <w:rPr>
          <w:sz w:val="24"/>
        </w:rPr>
      </w:pPr>
    </w:p>
    <w:p w:rsidR="0066676B" w:rsidRDefault="0066676B">
      <w:pPr>
        <w:pStyle w:val="GvdeMetni"/>
        <w:spacing w:before="7"/>
        <w:rPr>
          <w:sz w:val="26"/>
        </w:rPr>
      </w:pPr>
    </w:p>
    <w:p w:rsidR="0066676B" w:rsidRPr="00B45318" w:rsidRDefault="00245950">
      <w:pPr>
        <w:pStyle w:val="GvdeMetni"/>
        <w:spacing w:before="201" w:line="276" w:lineRule="auto"/>
        <w:ind w:left="976" w:right="1107"/>
        <w:rPr>
          <w:color w:val="FF0000"/>
        </w:rPr>
      </w:pPr>
      <w:r>
        <w:t xml:space="preserve">Avrupa Birliği dışındaki firmaların, AB’ye organik ürün ihracatı için, sertifikasyon sonrasında; AB Pazarına yapılan her yükleme </w:t>
      </w:r>
      <w:proofErr w:type="spellStart"/>
      <w:proofErr w:type="gramStart"/>
      <w:r>
        <w:t>için,</w:t>
      </w:r>
      <w:r w:rsidR="00B45318">
        <w:t>sertifikasyon</w:t>
      </w:r>
      <w:proofErr w:type="spellEnd"/>
      <w:proofErr w:type="gramEnd"/>
      <w:r w:rsidR="00B45318">
        <w:t xml:space="preserve"> kurtuluşundan</w:t>
      </w:r>
      <w:r>
        <w:t xml:space="preserve"> bir ürün sertifikası (“kontrol sertifikası” olarak da adlandırılır) talep etmelidir. </w:t>
      </w:r>
      <w:r w:rsidRPr="00B45318">
        <w:rPr>
          <w:color w:val="FF0000"/>
        </w:rPr>
        <w:t>Lütfen 3.2.8.1, “Kısa Bilgi: TRACES inceleyin</w:t>
      </w:r>
      <w:r w:rsidR="00B45318" w:rsidRPr="00B45318">
        <w:rPr>
          <w:color w:val="FF0000"/>
        </w:rPr>
        <w:t>iz.</w:t>
      </w:r>
    </w:p>
    <w:p w:rsidR="0066676B" w:rsidRDefault="00245950">
      <w:pPr>
        <w:pStyle w:val="GvdeMetni"/>
        <w:spacing w:before="199"/>
        <w:ind w:left="976" w:right="1204"/>
      </w:pPr>
      <w:r>
        <w:t xml:space="preserve">Müşteriler başvurudan sertifikasyona ve yıllık sertifikasyon yenilemeleri </w:t>
      </w:r>
      <w:proofErr w:type="gramStart"/>
      <w:r>
        <w:t>dahil</w:t>
      </w:r>
      <w:proofErr w:type="gramEnd"/>
      <w:r>
        <w:t xml:space="preserve"> tüm süreç boyunca </w:t>
      </w:r>
      <w:r w:rsidR="0037695C">
        <w:t>KAYOS</w:t>
      </w:r>
      <w:r w:rsidR="00B45318">
        <w:t>’ a</w:t>
      </w:r>
      <w:r>
        <w:t xml:space="preserve"> şikayetlerini iletebilirler. Bu </w:t>
      </w:r>
      <w:proofErr w:type="gramStart"/>
      <w:r>
        <w:t>şikayetler</w:t>
      </w:r>
      <w:proofErr w:type="gramEnd"/>
      <w:r>
        <w:t xml:space="preserve"> </w:t>
      </w:r>
      <w:r w:rsidR="0037695C">
        <w:t>KAYOS</w:t>
      </w:r>
      <w:r>
        <w:t>’</w:t>
      </w:r>
      <w:r w:rsidR="00B45318">
        <w:t xml:space="preserve"> u</w:t>
      </w:r>
      <w:r>
        <w:t xml:space="preserve">n </w:t>
      </w:r>
      <w:r w:rsidR="00B45318">
        <w:t xml:space="preserve">Şikayet ve İtirazlar prosedürüne göre </w:t>
      </w:r>
      <w:r>
        <w:t>incelenecek ve müşteri</w:t>
      </w:r>
      <w:r w:rsidR="00B45318">
        <w:t>,</w:t>
      </w:r>
      <w:r>
        <w:t xml:space="preserve"> şikayet değerlendirmesinden çıkan sonuç hakkında bilgilendirilecektir.</w:t>
      </w:r>
    </w:p>
    <w:sectPr w:rsidR="0066676B" w:rsidSect="001C2E32">
      <w:headerReference w:type="default" r:id="rId11"/>
      <w:footerReference w:type="default" r:id="rId12"/>
      <w:pgSz w:w="11910" w:h="16840" w:code="9"/>
      <w:pgMar w:top="284" w:right="440" w:bottom="280" w:left="440" w:header="709" w:footer="1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DD" w:rsidRDefault="00CC6CDD" w:rsidP="0066676B">
      <w:r>
        <w:separator/>
      </w:r>
    </w:p>
  </w:endnote>
  <w:endnote w:type="continuationSeparator" w:id="0">
    <w:p w:rsidR="00CC6CDD" w:rsidRDefault="00CC6CDD" w:rsidP="0066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029"/>
      <w:docPartObj>
        <w:docPartGallery w:val="Page Numbers (Bottom of Page)"/>
        <w:docPartUnique/>
      </w:docPartObj>
    </w:sdtPr>
    <w:sdtEndPr/>
    <w:sdtContent>
      <w:p w:rsidR="0045186F" w:rsidRDefault="00885232" w:rsidP="0045186F">
        <w:pPr>
          <w:tabs>
            <w:tab w:val="left" w:pos="3680"/>
          </w:tabs>
        </w:pPr>
        <w:r>
          <w:t xml:space="preserve">PS.03.02 </w:t>
        </w:r>
        <w:proofErr w:type="spellStart"/>
        <w:proofErr w:type="gramStart"/>
        <w:r w:rsidR="0045186F">
          <w:rPr>
            <w:rFonts w:ascii="Times New Roman"/>
          </w:rPr>
          <w:t>Rev.No</w:t>
        </w:r>
        <w:proofErr w:type="spellEnd"/>
        <w:proofErr w:type="gramEnd"/>
        <w:r w:rsidR="0045186F">
          <w:rPr>
            <w:rFonts w:ascii="Times New Roman"/>
          </w:rPr>
          <w:t>/Tarih:                                   Yay</w:t>
        </w:r>
        <w:r w:rsidR="0045186F">
          <w:rPr>
            <w:rFonts w:ascii="Times New Roman"/>
          </w:rPr>
          <w:t>ı</w:t>
        </w:r>
        <w:r w:rsidR="0045186F">
          <w:rPr>
            <w:rFonts w:ascii="Times New Roman"/>
          </w:rPr>
          <w:t xml:space="preserve">n Tarihi:07.01.2021    </w:t>
        </w:r>
        <w:r w:rsidR="00CC6CDD"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p w:rsidR="0045186F" w:rsidRPr="00885232" w:rsidRDefault="00CC6CDD">
                    <w:pPr>
                      <w:jc w:val="center"/>
                      <w:rPr>
                        <w:rFonts w:ascii="Times New Roman"/>
                      </w:rPr>
                    </w:pPr>
                    <w:sdt>
                      <w:sdtPr>
                        <w:rPr>
                          <w:rFonts w:ascii="Times New Roman"/>
                        </w:rPr>
                        <w:id w:val="20925027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ascii="Times New Roman"/>
                            </w:rPr>
                            <w:id w:val="2092502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D07C44" w:rsidRPr="00885232">
                              <w:rPr>
                                <w:rFonts w:ascii="Times New Roman"/>
                              </w:rPr>
                              <w:fldChar w:fldCharType="begin"/>
                            </w:r>
                            <w:r w:rsidR="0045186F" w:rsidRPr="00885232">
                              <w:rPr>
                                <w:rFonts w:ascii="Times New Roman"/>
                              </w:rPr>
                              <w:instrText xml:space="preserve"> PAGE   \* MERGEFORMAT </w:instrText>
                            </w:r>
                            <w:r w:rsidR="00D07C44" w:rsidRPr="00885232">
                              <w:rPr>
                                <w:rFonts w:ascii="Times New Roman"/>
                              </w:rPr>
                              <w:fldChar w:fldCharType="separate"/>
                            </w:r>
                            <w:r w:rsidR="00DA0F77">
                              <w:rPr>
                                <w:rFonts w:ascii="Times New Roman"/>
                                <w:noProof/>
                              </w:rPr>
                              <w:t>1</w:t>
                            </w:r>
                            <w:r w:rsidR="00D07C44" w:rsidRPr="00885232">
                              <w:rPr>
                                <w:rFonts w:ascii="Times New Roman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="0045186F" w:rsidRPr="00885232">
                      <w:rPr>
                        <w:rFonts w:ascii="Times New Roman"/>
                      </w:rPr>
                      <w:t>/4</w:t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DD" w:rsidRDefault="00CC6CDD" w:rsidP="0066676B">
      <w:r>
        <w:separator/>
      </w:r>
    </w:p>
  </w:footnote>
  <w:footnote w:type="continuationSeparator" w:id="0">
    <w:p w:rsidR="00CC6CDD" w:rsidRDefault="00CC6CDD" w:rsidP="00666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  <w:p w:rsidR="003A5BEB" w:rsidRDefault="003A5BEB" w:rsidP="003A5BEB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A0DD6"/>
    <w:multiLevelType w:val="hybridMultilevel"/>
    <w:tmpl w:val="99D4DB20"/>
    <w:lvl w:ilvl="0" w:tplc="1A1CF65E">
      <w:numFmt w:val="bullet"/>
      <w:lvlText w:val="•"/>
      <w:lvlJc w:val="left"/>
      <w:pPr>
        <w:ind w:left="1835" w:hanging="356"/>
      </w:pPr>
      <w:rPr>
        <w:rFonts w:ascii="Arial" w:eastAsia="Arial" w:hAnsi="Arial" w:cs="Arial" w:hint="default"/>
        <w:w w:val="129"/>
        <w:sz w:val="22"/>
        <w:szCs w:val="22"/>
        <w:lang w:val="tr-TR" w:eastAsia="tr-TR" w:bidi="tr-TR"/>
      </w:rPr>
    </w:lvl>
    <w:lvl w:ilvl="1" w:tplc="2542D162">
      <w:numFmt w:val="bullet"/>
      <w:lvlText w:val="•"/>
      <w:lvlJc w:val="left"/>
      <w:pPr>
        <w:ind w:left="2758" w:hanging="356"/>
      </w:pPr>
      <w:rPr>
        <w:rFonts w:hint="default"/>
        <w:lang w:val="tr-TR" w:eastAsia="tr-TR" w:bidi="tr-TR"/>
      </w:rPr>
    </w:lvl>
    <w:lvl w:ilvl="2" w:tplc="4E36F84C">
      <w:numFmt w:val="bullet"/>
      <w:lvlText w:val="•"/>
      <w:lvlJc w:val="left"/>
      <w:pPr>
        <w:ind w:left="3677" w:hanging="356"/>
      </w:pPr>
      <w:rPr>
        <w:rFonts w:hint="default"/>
        <w:lang w:val="tr-TR" w:eastAsia="tr-TR" w:bidi="tr-TR"/>
      </w:rPr>
    </w:lvl>
    <w:lvl w:ilvl="3" w:tplc="2A8EE780">
      <w:numFmt w:val="bullet"/>
      <w:lvlText w:val="•"/>
      <w:lvlJc w:val="left"/>
      <w:pPr>
        <w:ind w:left="4595" w:hanging="356"/>
      </w:pPr>
      <w:rPr>
        <w:rFonts w:hint="default"/>
        <w:lang w:val="tr-TR" w:eastAsia="tr-TR" w:bidi="tr-TR"/>
      </w:rPr>
    </w:lvl>
    <w:lvl w:ilvl="4" w:tplc="E1180BC4">
      <w:numFmt w:val="bullet"/>
      <w:lvlText w:val="•"/>
      <w:lvlJc w:val="left"/>
      <w:pPr>
        <w:ind w:left="5514" w:hanging="356"/>
      </w:pPr>
      <w:rPr>
        <w:rFonts w:hint="default"/>
        <w:lang w:val="tr-TR" w:eastAsia="tr-TR" w:bidi="tr-TR"/>
      </w:rPr>
    </w:lvl>
    <w:lvl w:ilvl="5" w:tplc="9FC4B6A8">
      <w:numFmt w:val="bullet"/>
      <w:lvlText w:val="•"/>
      <w:lvlJc w:val="left"/>
      <w:pPr>
        <w:ind w:left="6433" w:hanging="356"/>
      </w:pPr>
      <w:rPr>
        <w:rFonts w:hint="default"/>
        <w:lang w:val="tr-TR" w:eastAsia="tr-TR" w:bidi="tr-TR"/>
      </w:rPr>
    </w:lvl>
    <w:lvl w:ilvl="6" w:tplc="F0C208E8">
      <w:numFmt w:val="bullet"/>
      <w:lvlText w:val="•"/>
      <w:lvlJc w:val="left"/>
      <w:pPr>
        <w:ind w:left="7351" w:hanging="356"/>
      </w:pPr>
      <w:rPr>
        <w:rFonts w:hint="default"/>
        <w:lang w:val="tr-TR" w:eastAsia="tr-TR" w:bidi="tr-TR"/>
      </w:rPr>
    </w:lvl>
    <w:lvl w:ilvl="7" w:tplc="E9AADDE8">
      <w:numFmt w:val="bullet"/>
      <w:lvlText w:val="•"/>
      <w:lvlJc w:val="left"/>
      <w:pPr>
        <w:ind w:left="8270" w:hanging="356"/>
      </w:pPr>
      <w:rPr>
        <w:rFonts w:hint="default"/>
        <w:lang w:val="tr-TR" w:eastAsia="tr-TR" w:bidi="tr-TR"/>
      </w:rPr>
    </w:lvl>
    <w:lvl w:ilvl="8" w:tplc="AEF44274">
      <w:numFmt w:val="bullet"/>
      <w:lvlText w:val="•"/>
      <w:lvlJc w:val="left"/>
      <w:pPr>
        <w:ind w:left="9189" w:hanging="356"/>
      </w:pPr>
      <w:rPr>
        <w:rFonts w:hint="default"/>
        <w:lang w:val="tr-TR" w:eastAsia="tr-TR" w:bidi="tr-TR"/>
      </w:rPr>
    </w:lvl>
  </w:abstractNum>
  <w:abstractNum w:abstractNumId="1">
    <w:nsid w:val="68654504"/>
    <w:multiLevelType w:val="hybridMultilevel"/>
    <w:tmpl w:val="B6EE5AD2"/>
    <w:lvl w:ilvl="0" w:tplc="A2E22E84">
      <w:numFmt w:val="bullet"/>
      <w:lvlText w:val="•"/>
      <w:lvlJc w:val="left"/>
      <w:pPr>
        <w:ind w:left="529" w:hanging="356"/>
      </w:pPr>
      <w:rPr>
        <w:rFonts w:ascii="Arial" w:eastAsia="Arial" w:hAnsi="Arial" w:cs="Arial" w:hint="default"/>
        <w:w w:val="129"/>
        <w:sz w:val="22"/>
        <w:szCs w:val="22"/>
        <w:lang w:val="tr-TR" w:eastAsia="tr-TR" w:bidi="tr-TR"/>
      </w:rPr>
    </w:lvl>
    <w:lvl w:ilvl="1" w:tplc="F4DE92B0">
      <w:numFmt w:val="bullet"/>
      <w:lvlText w:val="•"/>
      <w:lvlJc w:val="left"/>
      <w:pPr>
        <w:ind w:left="998" w:hanging="356"/>
      </w:pPr>
      <w:rPr>
        <w:rFonts w:hint="default"/>
        <w:lang w:val="tr-TR" w:eastAsia="tr-TR" w:bidi="tr-TR"/>
      </w:rPr>
    </w:lvl>
    <w:lvl w:ilvl="2" w:tplc="14D80F6C">
      <w:numFmt w:val="bullet"/>
      <w:lvlText w:val="•"/>
      <w:lvlJc w:val="left"/>
      <w:pPr>
        <w:ind w:left="1476" w:hanging="356"/>
      </w:pPr>
      <w:rPr>
        <w:rFonts w:hint="default"/>
        <w:lang w:val="tr-TR" w:eastAsia="tr-TR" w:bidi="tr-TR"/>
      </w:rPr>
    </w:lvl>
    <w:lvl w:ilvl="3" w:tplc="26D04390">
      <w:numFmt w:val="bullet"/>
      <w:lvlText w:val="•"/>
      <w:lvlJc w:val="left"/>
      <w:pPr>
        <w:ind w:left="1954" w:hanging="356"/>
      </w:pPr>
      <w:rPr>
        <w:rFonts w:hint="default"/>
        <w:lang w:val="tr-TR" w:eastAsia="tr-TR" w:bidi="tr-TR"/>
      </w:rPr>
    </w:lvl>
    <w:lvl w:ilvl="4" w:tplc="37D65F7C">
      <w:numFmt w:val="bullet"/>
      <w:lvlText w:val="•"/>
      <w:lvlJc w:val="left"/>
      <w:pPr>
        <w:ind w:left="2432" w:hanging="356"/>
      </w:pPr>
      <w:rPr>
        <w:rFonts w:hint="default"/>
        <w:lang w:val="tr-TR" w:eastAsia="tr-TR" w:bidi="tr-TR"/>
      </w:rPr>
    </w:lvl>
    <w:lvl w:ilvl="5" w:tplc="90463D2E">
      <w:numFmt w:val="bullet"/>
      <w:lvlText w:val="•"/>
      <w:lvlJc w:val="left"/>
      <w:pPr>
        <w:ind w:left="2910" w:hanging="356"/>
      </w:pPr>
      <w:rPr>
        <w:rFonts w:hint="default"/>
        <w:lang w:val="tr-TR" w:eastAsia="tr-TR" w:bidi="tr-TR"/>
      </w:rPr>
    </w:lvl>
    <w:lvl w:ilvl="6" w:tplc="7CB48F00">
      <w:numFmt w:val="bullet"/>
      <w:lvlText w:val="•"/>
      <w:lvlJc w:val="left"/>
      <w:pPr>
        <w:ind w:left="3388" w:hanging="356"/>
      </w:pPr>
      <w:rPr>
        <w:rFonts w:hint="default"/>
        <w:lang w:val="tr-TR" w:eastAsia="tr-TR" w:bidi="tr-TR"/>
      </w:rPr>
    </w:lvl>
    <w:lvl w:ilvl="7" w:tplc="789A44AA">
      <w:numFmt w:val="bullet"/>
      <w:lvlText w:val="•"/>
      <w:lvlJc w:val="left"/>
      <w:pPr>
        <w:ind w:left="3866" w:hanging="356"/>
      </w:pPr>
      <w:rPr>
        <w:rFonts w:hint="default"/>
        <w:lang w:val="tr-TR" w:eastAsia="tr-TR" w:bidi="tr-TR"/>
      </w:rPr>
    </w:lvl>
    <w:lvl w:ilvl="8" w:tplc="83C6C81E">
      <w:numFmt w:val="bullet"/>
      <w:lvlText w:val="•"/>
      <w:lvlJc w:val="left"/>
      <w:pPr>
        <w:ind w:left="4344" w:hanging="356"/>
      </w:pPr>
      <w:rPr>
        <w:rFonts w:hint="default"/>
        <w:lang w:val="tr-TR" w:eastAsia="tr-TR" w:bidi="tr-TR"/>
      </w:rPr>
    </w:lvl>
  </w:abstractNum>
  <w:abstractNum w:abstractNumId="2">
    <w:nsid w:val="6D831504"/>
    <w:multiLevelType w:val="hybridMultilevel"/>
    <w:tmpl w:val="F6442474"/>
    <w:lvl w:ilvl="0" w:tplc="F4FCFCE0">
      <w:numFmt w:val="bullet"/>
      <w:lvlText w:val="•"/>
      <w:lvlJc w:val="left"/>
      <w:pPr>
        <w:ind w:left="534" w:hanging="356"/>
      </w:pPr>
      <w:rPr>
        <w:rFonts w:ascii="Arial" w:eastAsia="Arial" w:hAnsi="Arial" w:cs="Arial" w:hint="default"/>
        <w:w w:val="129"/>
        <w:sz w:val="22"/>
        <w:szCs w:val="22"/>
        <w:lang w:val="tr-TR" w:eastAsia="tr-TR" w:bidi="tr-TR"/>
      </w:rPr>
    </w:lvl>
    <w:lvl w:ilvl="1" w:tplc="B1B29FEA">
      <w:numFmt w:val="bullet"/>
      <w:lvlText w:val="•"/>
      <w:lvlJc w:val="left"/>
      <w:pPr>
        <w:ind w:left="1016" w:hanging="356"/>
      </w:pPr>
      <w:rPr>
        <w:rFonts w:hint="default"/>
        <w:lang w:val="tr-TR" w:eastAsia="tr-TR" w:bidi="tr-TR"/>
      </w:rPr>
    </w:lvl>
    <w:lvl w:ilvl="2" w:tplc="83D61572">
      <w:numFmt w:val="bullet"/>
      <w:lvlText w:val="•"/>
      <w:lvlJc w:val="left"/>
      <w:pPr>
        <w:ind w:left="1492" w:hanging="356"/>
      </w:pPr>
      <w:rPr>
        <w:rFonts w:hint="default"/>
        <w:lang w:val="tr-TR" w:eastAsia="tr-TR" w:bidi="tr-TR"/>
      </w:rPr>
    </w:lvl>
    <w:lvl w:ilvl="3" w:tplc="281633A2">
      <w:numFmt w:val="bullet"/>
      <w:lvlText w:val="•"/>
      <w:lvlJc w:val="left"/>
      <w:pPr>
        <w:ind w:left="1968" w:hanging="356"/>
      </w:pPr>
      <w:rPr>
        <w:rFonts w:hint="default"/>
        <w:lang w:val="tr-TR" w:eastAsia="tr-TR" w:bidi="tr-TR"/>
      </w:rPr>
    </w:lvl>
    <w:lvl w:ilvl="4" w:tplc="44528444">
      <w:numFmt w:val="bullet"/>
      <w:lvlText w:val="•"/>
      <w:lvlJc w:val="left"/>
      <w:pPr>
        <w:ind w:left="2444" w:hanging="356"/>
      </w:pPr>
      <w:rPr>
        <w:rFonts w:hint="default"/>
        <w:lang w:val="tr-TR" w:eastAsia="tr-TR" w:bidi="tr-TR"/>
      </w:rPr>
    </w:lvl>
    <w:lvl w:ilvl="5" w:tplc="A404976A">
      <w:numFmt w:val="bullet"/>
      <w:lvlText w:val="•"/>
      <w:lvlJc w:val="left"/>
      <w:pPr>
        <w:ind w:left="2920" w:hanging="356"/>
      </w:pPr>
      <w:rPr>
        <w:rFonts w:hint="default"/>
        <w:lang w:val="tr-TR" w:eastAsia="tr-TR" w:bidi="tr-TR"/>
      </w:rPr>
    </w:lvl>
    <w:lvl w:ilvl="6" w:tplc="6824C98C">
      <w:numFmt w:val="bullet"/>
      <w:lvlText w:val="•"/>
      <w:lvlJc w:val="left"/>
      <w:pPr>
        <w:ind w:left="3396" w:hanging="356"/>
      </w:pPr>
      <w:rPr>
        <w:rFonts w:hint="default"/>
        <w:lang w:val="tr-TR" w:eastAsia="tr-TR" w:bidi="tr-TR"/>
      </w:rPr>
    </w:lvl>
    <w:lvl w:ilvl="7" w:tplc="A82C4F10">
      <w:numFmt w:val="bullet"/>
      <w:lvlText w:val="•"/>
      <w:lvlJc w:val="left"/>
      <w:pPr>
        <w:ind w:left="3872" w:hanging="356"/>
      </w:pPr>
      <w:rPr>
        <w:rFonts w:hint="default"/>
        <w:lang w:val="tr-TR" w:eastAsia="tr-TR" w:bidi="tr-TR"/>
      </w:rPr>
    </w:lvl>
    <w:lvl w:ilvl="8" w:tplc="70BC50E2">
      <w:numFmt w:val="bullet"/>
      <w:lvlText w:val="•"/>
      <w:lvlJc w:val="left"/>
      <w:pPr>
        <w:ind w:left="4348" w:hanging="35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6676B"/>
    <w:rsid w:val="000D75ED"/>
    <w:rsid w:val="001C2E32"/>
    <w:rsid w:val="00210679"/>
    <w:rsid w:val="00245950"/>
    <w:rsid w:val="00283F2B"/>
    <w:rsid w:val="0037695C"/>
    <w:rsid w:val="00376A18"/>
    <w:rsid w:val="0038308A"/>
    <w:rsid w:val="003A5BEB"/>
    <w:rsid w:val="003C1835"/>
    <w:rsid w:val="003D4AFE"/>
    <w:rsid w:val="00420FE8"/>
    <w:rsid w:val="0045186F"/>
    <w:rsid w:val="006336CB"/>
    <w:rsid w:val="00647458"/>
    <w:rsid w:val="0066676B"/>
    <w:rsid w:val="00792EBE"/>
    <w:rsid w:val="007B6D0B"/>
    <w:rsid w:val="00885232"/>
    <w:rsid w:val="00B45318"/>
    <w:rsid w:val="00CC6CDD"/>
    <w:rsid w:val="00D07C44"/>
    <w:rsid w:val="00D95634"/>
    <w:rsid w:val="00DA0F77"/>
    <w:rsid w:val="00EE2A90"/>
    <w:rsid w:val="00FB6996"/>
    <w:rsid w:val="00FD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676B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6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6676B"/>
  </w:style>
  <w:style w:type="paragraph" w:styleId="ListeParagraf">
    <w:name w:val="List Paragraph"/>
    <w:basedOn w:val="Normal"/>
    <w:uiPriority w:val="1"/>
    <w:qFormat/>
    <w:rsid w:val="0066676B"/>
    <w:pPr>
      <w:spacing w:before="7"/>
      <w:ind w:left="1835" w:hanging="356"/>
    </w:pPr>
  </w:style>
  <w:style w:type="paragraph" w:customStyle="1" w:styleId="TableParagraph">
    <w:name w:val="Table Paragraph"/>
    <w:basedOn w:val="Normal"/>
    <w:uiPriority w:val="1"/>
    <w:qFormat/>
    <w:rsid w:val="0066676B"/>
    <w:pPr>
      <w:ind w:left="174"/>
    </w:pPr>
  </w:style>
  <w:style w:type="paragraph" w:styleId="stbilgi">
    <w:name w:val="header"/>
    <w:basedOn w:val="Normal"/>
    <w:link w:val="stbilgiChar"/>
    <w:uiPriority w:val="99"/>
    <w:semiHidden/>
    <w:unhideWhenUsed/>
    <w:rsid w:val="00376A18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6A18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6A18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6A18"/>
    <w:rPr>
      <w:rFonts w:ascii="Arial" w:eastAsia="Arial" w:hAnsi="Arial" w:cs="Arial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5B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5BEB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2021-01-06T23:03:00Z</dcterms:created>
  <dcterms:modified xsi:type="dcterms:W3CDTF">2021-02-24T10:40:00Z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2021-01-06T00:00:00Z</vt:filetime>
  </property>
</Properties>
</file>